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/>
        <w:ind w:left="0" w:right="0"/>
        <w:jc w:val="center"/>
        <w:rPr>
          <w:color w:val="auto"/>
          <w:sz w:val="30"/>
          <w:szCs w:val="30"/>
        </w:rPr>
      </w:pPr>
      <w:r>
        <w:rPr>
          <w:rFonts w:ascii="宋体" w:hAnsi="宋体" w:eastAsia="宋体" w:cs="宋体"/>
          <w:color w:val="auto"/>
          <w:kern w:val="0"/>
          <w:sz w:val="30"/>
          <w:szCs w:val="30"/>
          <w:lang w:val="en-US" w:eastAsia="zh-CN" w:bidi="ar"/>
        </w:rPr>
        <w:t>关于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  <w:lang w:val="en-US" w:eastAsia="zh-CN" w:bidi="ar"/>
        </w:rPr>
        <w:t>交易所阶梯式收取申报费的</w:t>
      </w:r>
      <w:r>
        <w:rPr>
          <w:rFonts w:ascii="宋体" w:hAnsi="宋体" w:eastAsia="宋体" w:cs="宋体"/>
          <w:color w:val="auto"/>
          <w:kern w:val="0"/>
          <w:sz w:val="30"/>
          <w:szCs w:val="30"/>
          <w:lang w:val="en-US" w:eastAsia="zh-CN" w:bidi="ar"/>
        </w:rPr>
        <w:t>通知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color w:val="565656"/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F2F2F2"/>
        </w:rPr>
      </w:pPr>
      <w:r>
        <w:rPr>
          <w:color w:val="565656"/>
          <w:sz w:val="18"/>
          <w:szCs w:val="18"/>
        </w:rPr>
        <w:pict>
          <v:rect id="_x0000_i1025" o:spt="1" style="height:2.25pt;width:432pt;" fillcolor="#F2F2F2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20" w:lineRule="auto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尊敬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shd w:val="clear" w:fill="FFFFFF"/>
          <w:lang w:eastAsia="zh-CN"/>
        </w:rPr>
        <w:t>广大投资者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20" w:lineRule="auto"/>
        <w:ind w:left="0" w:right="0" w:firstLine="0"/>
        <w:rPr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 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shd w:val="clear" w:fill="FFFFFF"/>
          <w:lang w:eastAsia="zh-CN"/>
        </w:rPr>
        <w:t>目前各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交易所已经针对部分交易品种的报撤单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shd w:val="clear" w:fill="FFFFFF"/>
          <w:lang w:eastAsia="zh-CN"/>
        </w:rPr>
        <w:t>进行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阶梯式收取申报费</w:t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，</w:t>
      </w:r>
      <w:r>
        <w:rPr>
          <w:rStyle w:val="8"/>
          <w:rFonts w:hint="eastAsia" w:ascii="宋体" w:hAnsi="宋体" w:eastAsia="宋体" w:cs="宋体"/>
          <w:b w:val="0"/>
          <w:bCs/>
          <w:i w:val="0"/>
          <w:iCs w:val="0"/>
          <w:caps w:val="0"/>
          <w:color w:val="000000"/>
          <w:spacing w:val="0"/>
          <w:sz w:val="27"/>
          <w:szCs w:val="27"/>
          <w:shd w:val="clear" w:fill="FFFFFF"/>
          <w:lang w:eastAsia="zh-CN"/>
        </w:rPr>
        <w:t>即对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当日报撤单合计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shd w:val="clear" w:fill="FFFFFF"/>
          <w:lang w:eastAsia="zh-CN"/>
        </w:rPr>
        <w:t>笔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数超过相应阈值后，对当日所有报撤单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shd w:val="clear" w:fill="FFFFFF"/>
          <w:lang w:eastAsia="zh-CN"/>
        </w:rPr>
        <w:t>笔数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按对应梯度的标准收取申报费。请您及时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shd w:val="clear" w:fill="FFFFFF"/>
          <w:lang w:eastAsia="zh-CN"/>
        </w:rPr>
        <w:t>关注交易所相关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规则，避免因操作不当产生额外</w:t>
      </w:r>
      <w:r>
        <w:rPr>
          <w:rStyle w:val="8"/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7"/>
          <w:szCs w:val="27"/>
          <w:shd w:val="clear" w:fill="FFFFFF"/>
        </w:rPr>
        <w:t>的申报费成本，而导致您的期货账户出现非预期损失甚至</w:t>
      </w:r>
      <w:r>
        <w:rPr>
          <w:rStyle w:val="8"/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7"/>
          <w:szCs w:val="27"/>
          <w:shd w:val="clear" w:fill="FFFFFF"/>
          <w:lang w:eastAsia="zh-CN"/>
        </w:rPr>
        <w:t>有</w:t>
      </w:r>
      <w:r>
        <w:rPr>
          <w:rStyle w:val="8"/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7"/>
          <w:szCs w:val="27"/>
          <w:shd w:val="clear" w:fill="FFFFFF"/>
        </w:rPr>
        <w:t>穿仓的风险。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20" w:lineRule="auto"/>
        <w:ind w:left="0" w:right="0" w:firstLine="0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7"/>
          <w:szCs w:val="27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7"/>
          <w:szCs w:val="27"/>
          <w:shd w:val="clear" w:fill="FFFFFF"/>
        </w:rPr>
        <w:t> 截至</w:t>
      </w:r>
      <w:r>
        <w:rPr>
          <w:rFonts w:ascii="Calibri" w:hAnsi="Calibri" w:eastAsia="宋体" w:cs="Calibri"/>
          <w:b w:val="0"/>
          <w:bCs w:val="0"/>
          <w:i w:val="0"/>
          <w:iCs w:val="0"/>
          <w:caps w:val="0"/>
          <w:color w:val="auto"/>
          <w:spacing w:val="0"/>
          <w:sz w:val="27"/>
          <w:szCs w:val="27"/>
          <w:shd w:val="clear" w:fill="FFFFFF"/>
        </w:rPr>
        <w:t>2023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7"/>
          <w:szCs w:val="27"/>
          <w:shd w:val="clear" w:fill="FFFFFF"/>
        </w:rPr>
        <w:t>年</w:t>
      </w:r>
      <w:r>
        <w:rPr>
          <w:rFonts w:hint="default" w:ascii="Calibri" w:hAnsi="Calibri" w:eastAsia="宋体" w:cs="Calibri"/>
          <w:b w:val="0"/>
          <w:bCs w:val="0"/>
          <w:i w:val="0"/>
          <w:iCs w:val="0"/>
          <w:caps w:val="0"/>
          <w:color w:val="auto"/>
          <w:spacing w:val="0"/>
          <w:sz w:val="27"/>
          <w:szCs w:val="27"/>
          <w:shd w:val="clear" w:fill="FFFFFF"/>
        </w:rPr>
        <w:t>4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7"/>
          <w:szCs w:val="27"/>
          <w:shd w:val="clear" w:fill="FFFFFF"/>
        </w:rPr>
        <w:t>月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7"/>
          <w:szCs w:val="27"/>
          <w:shd w:val="clear" w:fill="FFFFFF"/>
          <w:lang w:val="en-US" w:eastAsia="zh-CN"/>
        </w:rPr>
        <w:t>20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7"/>
          <w:szCs w:val="27"/>
          <w:shd w:val="clear" w:fill="FFFFFF"/>
        </w:rPr>
        <w:t>日，交易所收取申报费的交易品种和相应收取标准如下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7"/>
          <w:szCs w:val="27"/>
          <w:shd w:val="clear" w:fill="FFFFFF"/>
          <w:lang w:eastAsia="zh-CN"/>
        </w:rPr>
        <w:t>：</w:t>
      </w:r>
    </w:p>
    <w:tbl>
      <w:tblPr>
        <w:tblStyle w:val="6"/>
        <w:tblW w:w="952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1582"/>
        <w:gridCol w:w="696"/>
        <w:gridCol w:w="936"/>
        <w:gridCol w:w="1056"/>
        <w:gridCol w:w="837"/>
        <w:gridCol w:w="696"/>
        <w:gridCol w:w="936"/>
        <w:gridCol w:w="1056"/>
        <w:gridCol w:w="8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889" w:type="dxa"/>
            <w:vMerge w:val="restart"/>
            <w:tcBorders>
              <w:top w:val="nil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能源中心</w:t>
            </w:r>
          </w:p>
        </w:tc>
        <w:tc>
          <w:tcPr>
            <w:tcW w:w="158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品种</w:t>
            </w:r>
          </w:p>
        </w:tc>
        <w:tc>
          <w:tcPr>
            <w:tcW w:w="268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信息量(OTR≤2)（元/笔）</w:t>
            </w:r>
          </w:p>
        </w:tc>
        <w:tc>
          <w:tcPr>
            <w:tcW w:w="8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833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Chars="20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信息量(OTR&gt;2)（元/笔）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9" w:type="dxa"/>
            <w:vMerge w:val="continue"/>
            <w:tcBorders>
              <w:top w:val="nil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8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0-4000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4001-8000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8001-40000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40000+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0-4000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4001-8000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8001-40000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40000+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889" w:type="dxa"/>
            <w:vMerge w:val="continue"/>
            <w:tcBorders>
              <w:top w:val="nil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原油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0.25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0.5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9" w:type="dxa"/>
            <w:vMerge w:val="continue"/>
            <w:tcBorders>
              <w:top w:val="nil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低硫燃料油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0.25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1.25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0.5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889" w:type="dxa"/>
            <w:vMerge w:val="continue"/>
            <w:tcBorders>
              <w:top w:val="nil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20号胶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0.01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0.05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0.02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9" w:type="dxa"/>
            <w:vMerge w:val="continue"/>
            <w:tcBorders>
              <w:top w:val="nil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国际铜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0.01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0.05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0.02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889" w:type="dxa"/>
            <w:vMerge w:val="continue"/>
            <w:tcBorders>
              <w:top w:val="nil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原油期权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0.01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0.05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0.02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上期所(A)</w:t>
            </w:r>
          </w:p>
        </w:tc>
        <w:tc>
          <w:tcPr>
            <w:tcW w:w="15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白银</w:t>
            </w:r>
          </w:p>
        </w:tc>
        <w:tc>
          <w:tcPr>
            <w:tcW w:w="6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0.25</w:t>
            </w:r>
          </w:p>
        </w:tc>
        <w:tc>
          <w:tcPr>
            <w:tcW w:w="10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1.25</w:t>
            </w:r>
          </w:p>
        </w:tc>
        <w:tc>
          <w:tcPr>
            <w:tcW w:w="8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  <w:tc>
          <w:tcPr>
            <w:tcW w:w="6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0.5</w:t>
            </w:r>
          </w:p>
        </w:tc>
        <w:tc>
          <w:tcPr>
            <w:tcW w:w="10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2.5</w:t>
            </w:r>
          </w:p>
        </w:tc>
        <w:tc>
          <w:tcPr>
            <w:tcW w:w="8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88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铝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0.25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1.25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0.5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黄金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0.25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1.25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0.5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88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石油沥青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0.25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1.25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0.5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铜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0.25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1.25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0.5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88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燃料油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0.25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1.25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0.5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热轧卷板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0.25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1.25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0.5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88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0.25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1.25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0.5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铅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0.25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1.25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0.5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88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螺纹钢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0.25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1.25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0.5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天然橡胶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0.25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1.25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0.5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88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锡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0.25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1.25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0.5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纸浆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0.25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1.25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0.5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88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不锈钢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0.25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1.25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0.5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锌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0.25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1.25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0.5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8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上期所(B)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线材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0.01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0.05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0.02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铝期权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0.01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0.05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0.02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黄金期权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0.01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0.05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0.02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铜期权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0.01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0.05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0.02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天然橡胶期极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0.01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0.05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0.02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锌期权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0.01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0.05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0.02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9" w:type="dxa"/>
            <w:vMerge w:val="restart"/>
            <w:tcBorders>
              <w:top w:val="nil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大商所</w:t>
            </w:r>
          </w:p>
        </w:tc>
        <w:tc>
          <w:tcPr>
            <w:tcW w:w="15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0-4000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4001-8000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8001-20000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20000+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0-4000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4001-8001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8001-20000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20000+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889" w:type="dxa"/>
            <w:vMerge w:val="continue"/>
            <w:tcBorders>
              <w:top w:val="nil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棕榈油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0.8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0.4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9" w:type="dxa"/>
            <w:vMerge w:val="continue"/>
            <w:tcBorders>
              <w:top w:val="nil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铁矿石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0.2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0.1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889" w:type="dxa"/>
            <w:vMerge w:val="continue"/>
            <w:tcBorders>
              <w:top w:val="nil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豆粕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1.2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0.6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9" w:type="dxa"/>
            <w:vMerge w:val="continue"/>
            <w:tcBorders>
              <w:top w:val="nil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豆油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0.6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0.3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889" w:type="dxa"/>
            <w:vMerge w:val="continue"/>
            <w:tcBorders>
              <w:top w:val="nil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黄大豆1号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0.1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0.05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0.25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9" w:type="dxa"/>
            <w:vMerge w:val="continue"/>
            <w:tcBorders>
              <w:top w:val="nil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黄大豆2号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0.2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0.1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889" w:type="dxa"/>
            <w:vMerge w:val="continue"/>
            <w:tcBorders>
              <w:top w:val="nil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玉米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3.2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1.6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9" w:type="dxa"/>
            <w:vMerge w:val="continue"/>
            <w:tcBorders>
              <w:top w:val="nil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生猪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0.2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0.1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889" w:type="dxa"/>
            <w:vMerge w:val="continue"/>
            <w:tcBorders>
              <w:top w:val="nil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线型低密度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1.2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0.6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9" w:type="dxa"/>
            <w:vMerge w:val="continue"/>
            <w:tcBorders>
              <w:top w:val="nil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聚乙烯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1.2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0.6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88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郑商所</w:t>
            </w:r>
          </w:p>
        </w:tc>
        <w:tc>
          <w:tcPr>
            <w:tcW w:w="15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甲醇</w:t>
            </w:r>
          </w:p>
        </w:tc>
        <w:tc>
          <w:tcPr>
            <w:tcW w:w="6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8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0.1</w:t>
            </w:r>
          </w:p>
        </w:tc>
        <w:tc>
          <w:tcPr>
            <w:tcW w:w="10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8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白糖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0.1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88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菜油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0.25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0.1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0.75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菜粕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0.1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88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短纤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0.1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花生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0.1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88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PTA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0.1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889" w:type="dxa"/>
            <w:vMerge w:val="restart"/>
            <w:tcBorders>
              <w:top w:val="nil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中金所</w:t>
            </w:r>
          </w:p>
        </w:tc>
        <w:tc>
          <w:tcPr>
            <w:tcW w:w="15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054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信息量单位：元/笔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889" w:type="dxa"/>
            <w:vMerge w:val="continue"/>
            <w:tcBorders>
              <w:top w:val="nil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沪深300股指期货</w:t>
            </w:r>
          </w:p>
        </w:tc>
        <w:tc>
          <w:tcPr>
            <w:tcW w:w="705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889" w:type="dxa"/>
            <w:vMerge w:val="continue"/>
            <w:tcBorders>
              <w:top w:val="nil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中证500股指期货</w:t>
            </w:r>
          </w:p>
        </w:tc>
        <w:tc>
          <w:tcPr>
            <w:tcW w:w="705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889" w:type="dxa"/>
            <w:vMerge w:val="continue"/>
            <w:tcBorders>
              <w:top w:val="nil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中证1000股指期货</w:t>
            </w:r>
          </w:p>
        </w:tc>
        <w:tc>
          <w:tcPr>
            <w:tcW w:w="705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9" w:type="dxa"/>
            <w:vMerge w:val="continue"/>
            <w:tcBorders>
              <w:top w:val="nil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上证50股指期货</w:t>
            </w:r>
          </w:p>
        </w:tc>
        <w:tc>
          <w:tcPr>
            <w:tcW w:w="7054" w:type="dxa"/>
            <w:gridSpan w:val="8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25" w:type="dxa"/>
            <w:gridSpan w:val="10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信息量=下单笔数+撤单笔数          报单成交比(OTR)=信息量/有成交下单笔数-1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20" w:lineRule="auto"/>
        <w:ind w:right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【大商所】关于对部分期货合约交易收取申报费的通知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20" w:lineRule="auto"/>
        <w:ind w:right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0"/>
          <w:szCs w:val="20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0"/>
          <w:szCs w:val="20"/>
          <w:shd w:val="clear" w:fill="FFFFFF"/>
        </w:rPr>
        <w:t>http://www.dce.com.cn/dalianshangpin/ywfw/jystz/ywtz/8508587/index.html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6" w:beforeAutospacing="0" w:after="210" w:afterAutospacing="0" w:line="120" w:lineRule="auto"/>
        <w:ind w:right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【上期所】关于在期货和期权合约对客户信息量收取申报费的通知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6" w:beforeAutospacing="0" w:after="210" w:afterAutospacing="0" w:line="120" w:lineRule="auto"/>
        <w:ind w:right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0"/>
          <w:szCs w:val="2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0"/>
          <w:szCs w:val="20"/>
          <w:shd w:val="clear" w:fill="FFFFFF"/>
          <w:lang w:val="en-US" w:eastAsia="zh-CN"/>
        </w:rPr>
        <w:t>https://www.shfe.com.cn/news/notice/911341847.html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20" w:lineRule="auto"/>
        <w:ind w:right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【郑商所】关于对部分期货合约交易收取申报费的通知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20" w:lineRule="auto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0"/>
          <w:szCs w:val="20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0"/>
          <w:szCs w:val="20"/>
          <w:u w:val="none"/>
          <w:shd w:val="clear" w:fill="FFFFFF"/>
        </w:rPr>
        <w:t>http://www.czce.com.cn/cn/gyjys/jysdt/ggytz/webinfo/2022/07/1655818689351606.htm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0"/>
          <w:szCs w:val="20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0"/>
          <w:szCs w:val="20"/>
          <w:u w:val="none"/>
          <w:shd w:val="clear" w:fill="FFFFFF"/>
        </w:rPr>
        <w:instrText xml:space="preserve"> HYPERLINK "http://www.czce.com.cn/cn/gyjys/jysdt/ggytz/webinfo/2022/07/1655818689351606.htm"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0"/>
          <w:szCs w:val="20"/>
          <w:u w:val="none"/>
          <w:shd w:val="clear" w:fill="FFFFFF"/>
        </w:rPr>
        <w:fldChar w:fldCharType="separate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0"/>
          <w:szCs w:val="20"/>
          <w:u w:val="none"/>
          <w:shd w:val="clear" w:fill="FFFFFF"/>
        </w:rPr>
        <w:fldChar w:fldCharType="end"/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20" w:lineRule="auto"/>
        <w:ind w:left="0" w:right="0" w:firstLine="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【上海国际能源交易中心】关于调整原油期货等品种申报费收费标准的通知</w:t>
      </w:r>
      <w:r>
        <w:rPr>
          <w:rFonts w:hint="eastAsia" w:ascii="宋体" w:hAnsi="宋体" w:eastAsia="宋体" w:cs="宋体"/>
          <w:i w:val="0"/>
          <w:iCs w:val="0"/>
          <w:caps w:val="0"/>
          <w:color w:val="800080"/>
          <w:spacing w:val="0"/>
          <w:sz w:val="27"/>
          <w:szCs w:val="27"/>
          <w:u w:val="singl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800080"/>
          <w:spacing w:val="0"/>
          <w:sz w:val="27"/>
          <w:szCs w:val="27"/>
          <w:u w:val="single"/>
          <w:shd w:val="clear" w:fill="FFFFFF"/>
        </w:rPr>
        <w:instrText xml:space="preserve"> HYPERLINK "https://www.shfe.com.cn/news/notice/911341850.html" </w:instrText>
      </w:r>
      <w:r>
        <w:rPr>
          <w:rFonts w:hint="eastAsia" w:ascii="宋体" w:hAnsi="宋体" w:eastAsia="宋体" w:cs="宋体"/>
          <w:i w:val="0"/>
          <w:iCs w:val="0"/>
          <w:caps w:val="0"/>
          <w:color w:val="800080"/>
          <w:spacing w:val="0"/>
          <w:sz w:val="27"/>
          <w:szCs w:val="27"/>
          <w:u w:val="single"/>
          <w:shd w:val="clear" w:fill="FFFFFF"/>
        </w:rPr>
        <w:fldChar w:fldCharType="separate"/>
      </w:r>
      <w:r>
        <w:rPr>
          <w:rFonts w:hint="eastAsia" w:ascii="宋体" w:hAnsi="宋体" w:eastAsia="宋体" w:cs="宋体"/>
          <w:i w:val="0"/>
          <w:iCs w:val="0"/>
          <w:caps w:val="0"/>
          <w:color w:val="800080"/>
          <w:spacing w:val="0"/>
          <w:sz w:val="27"/>
          <w:szCs w:val="27"/>
          <w:u w:val="single"/>
          <w:shd w:val="clear" w:fill="FFFFFF"/>
        </w:rPr>
        <w:fldChar w:fldCharType="end"/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20" w:lineRule="auto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0"/>
          <w:szCs w:val="20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0"/>
          <w:szCs w:val="20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0"/>
          <w:szCs w:val="20"/>
          <w:shd w:val="clear" w:fill="FFFFFF"/>
        </w:rPr>
        <w:instrText xml:space="preserve"> HYPERLINK "https://www.shfe.com.cn/news/notice/911341850.html" </w:instrTex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0"/>
          <w:szCs w:val="20"/>
          <w:shd w:val="clear" w:fill="FFFFFF"/>
        </w:rPr>
        <w:fldChar w:fldCharType="separate"/>
      </w:r>
      <w:r>
        <w:rPr>
          <w:rStyle w:val="10"/>
          <w:rFonts w:hint="eastAsia" w:ascii="宋体" w:hAnsi="宋体" w:eastAsia="宋体" w:cs="宋体"/>
          <w:i w:val="0"/>
          <w:iCs w:val="0"/>
          <w:caps w:val="0"/>
          <w:spacing w:val="0"/>
          <w:sz w:val="20"/>
          <w:szCs w:val="20"/>
          <w:shd w:val="clear" w:fill="FFFFFF"/>
        </w:rPr>
        <w:t>https://www.shfe.com.cn/news/notice/911341850.html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0"/>
          <w:szCs w:val="20"/>
          <w:shd w:val="clear" w:fill="FFFFFF"/>
        </w:rPr>
        <w:fldChar w:fldCharType="end"/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20" w:lineRule="auto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0"/>
          <w:szCs w:val="20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20" w:lineRule="auto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0"/>
          <w:szCs w:val="20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20" w:lineRule="auto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t xml:space="preserve">                                            上海大陆期货有限公司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20" w:lineRule="auto"/>
        <w:ind w:left="0" w:right="0" w:firstLine="0"/>
        <w:jc w:val="both"/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t xml:space="preserve">                                                2023年4月20日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</w:pPr>
      <w:bookmarkStart w:id="0" w:name="_GoBack"/>
      <w:bookmarkEnd w:id="0"/>
    </w:p>
    <w:sectPr>
      <w:pgSz w:w="11906" w:h="16838"/>
      <w:pgMar w:top="567" w:right="1417" w:bottom="56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4MDFjN2E4YTIyNDE1MDJlYjdiNGFjOWNlYmQxOTgifQ=="/>
  </w:docVars>
  <w:rsids>
    <w:rsidRoot w:val="00000000"/>
    <w:rsid w:val="136A122B"/>
    <w:rsid w:val="27921E4C"/>
    <w:rsid w:val="2AEA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333333"/>
      <w:u w:val="none"/>
    </w:rPr>
  </w:style>
  <w:style w:type="character" w:styleId="10">
    <w:name w:val="Hyperlink"/>
    <w:basedOn w:val="7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869</Words>
  <Characters>1639</Characters>
  <Lines>0</Lines>
  <Paragraphs>0</Paragraphs>
  <TotalTime>7</TotalTime>
  <ScaleCrop>false</ScaleCrop>
  <LinksUpToDate>false</LinksUpToDate>
  <CharactersWithSpaces>1745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陈凌云 </cp:lastModifiedBy>
  <cp:lastPrinted>2023-04-20T06:58:00Z</cp:lastPrinted>
  <dcterms:modified xsi:type="dcterms:W3CDTF">2023-04-20T07:08:26Z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BEFD2E129E50468A98AC96E262FDC23B_13</vt:lpwstr>
  </property>
</Properties>
</file>